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TABELA REFERENCIAL 1  - CONTAS DE GESTÃO</w:t>
      </w:r>
    </w:p>
    <w:tbl>
      <w:tblPr>
        <w:tblW w:w="16013" w:type="dxa"/>
        <w:jc w:val="left"/>
        <w:tblInd w:w="-704" w:type="dxa"/>
        <w:tblLayout w:type="fixed"/>
        <w:tblCellMar>
          <w:top w:w="34" w:type="dxa"/>
          <w:left w:w="70" w:type="dxa"/>
          <w:bottom w:w="0" w:type="dxa"/>
          <w:right w:w="20" w:type="dxa"/>
        </w:tblCellMar>
        <w:tblLook w:firstRow="0" w:noVBand="0" w:lastRow="0" w:firstColumn="0" w:lastColumn="0" w:noHBand="0" w:val="0000"/>
      </w:tblPr>
      <w:tblGrid>
        <w:gridCol w:w="778"/>
        <w:gridCol w:w="1694"/>
        <w:gridCol w:w="767"/>
        <w:gridCol w:w="58"/>
        <w:gridCol w:w="2789"/>
        <w:gridCol w:w="3685"/>
        <w:gridCol w:w="4629"/>
        <w:gridCol w:w="1612"/>
      </w:tblGrid>
      <w:tr>
        <w:trPr>
          <w:trHeight w:val="430" w:hRule="atLeast"/>
        </w:trPr>
        <w:tc>
          <w:tcPr>
            <w:tcW w:w="144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b/>
                <w:b/>
                <w:bCs/>
              </w:rPr>
            </w:pPr>
            <w:r>
              <w:rPr/>
              <w:tab/>
            </w:r>
            <w:r>
              <w:rPr>
                <w:b/>
                <w:bCs/>
              </w:rPr>
              <w:t xml:space="preserve">2. Itens de abordagem complementar            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30" w:hRule="atLeast"/>
        </w:trPr>
        <w:tc>
          <w:tcPr>
            <w:tcW w:w="144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2.2. Gestão fiscal, financeira e orçamentária 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Código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Ponto de controle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Base legal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Procedimento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Resposta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298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2.2.10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Execução programas projetos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CRFB/88, art. 167, I..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Avaliar se houve execução de programas ou projetos de governo não incluídos na lei orçamentária anual.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Não foi executado nenhum programa ou projetos de governo que não estejam inclusos na LOA.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349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2.2.18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Spacing"/>
              <w:widowControl w:val="false"/>
              <w:rPr/>
            </w:pPr>
            <w:r>
              <w:rPr/>
              <w:t xml:space="preserve">Realização de 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investimentos plurianuais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CRFB/88, art.  167, § 1º.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Avaliar se foram iniciados investimentos cuja execução ultrapasse um exercício financeiro sem prévia inclusão no plano plurianual, ou sem lei que autorize a inclusão.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/>
              <w:t xml:space="preserve"> </w:t>
            </w:r>
            <w:r>
              <w:rPr>
                <w:b/>
                <w:bCs/>
                <w:i/>
                <w:iCs/>
              </w:rPr>
              <w:t>Foram iniciados investimentos para mais de um exercício financeiro, porém estão devidamente previstos na Legislação.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2.2.24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Spacing"/>
              <w:widowControl w:val="false"/>
              <w:rPr/>
            </w:pPr>
            <w:r>
              <w:rPr/>
              <w:t xml:space="preserve">Escrituração e consolidação das 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contas públicas 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 xml:space="preserve">LC 101/2000, art. 50/Norma Brasileira de Contabilidade NBC TSP-EC c/c / </w:t>
            </w:r>
          </w:p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NBC-T 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Avaliar se a escrituração e consolidação contábil das contas públicas obedeceu ao que dispõe o artigo 50 da LRF e as normas brasileiras de contabilidade aplicadas ao setor público.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Sim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929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5" w:type="dxa"/>
              <w:right w:w="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2.2.28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Pagamento de passivos – ordem cronológica das exigibilidades </w:t>
            </w:r>
          </w:p>
        </w:tc>
        <w:tc>
          <w:tcPr>
            <w:tcW w:w="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5" w:type="dxa"/>
              <w:right w:w="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Lei 8.666/1993, arts. 5º e 92, c/c CRFB/88, art. 37.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5" w:type="dxa"/>
              <w:right w:w="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Avaliar se os passivos estão sendo pagos em ordem cronológica de suas exigibilidades.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Sim</w:t>
            </w:r>
          </w:p>
        </w:tc>
        <w:tc>
          <w:tcPr>
            <w:tcW w:w="1612" w:type="dxa"/>
            <w:tcBorders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932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2.2.30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Despesa – realização de despesas – irregularidades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LC 101/2000, art.  15 c/c Lei 4.320/1964, art. 4º.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Avaliar se foram realizadas despesas consideradas não autorizadas, irregulares e lesivas ao patrimônio público, ilegais e/ou ilegítimas.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Não foram realizadas despesas não autorizadas ou lesiva ao Patrimônio Público.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111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2.2.31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Despesa –  liquidação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Lei 4.320/1964, art. 63.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Avaliar se foram observados os pré requisitos estabelecidos no artigo 63 da Lei Federal nº 4.320/64 para a liquidação das despesas. 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Sim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931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2.2.32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Pagamento de despesas sem  regular liquidação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Lei 4.320/1964, art. 62.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Avaliar se houve pagamento de despesa sem sua regular liquidação.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Todos os pagamentos tem sua regular liquidação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114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2.2.33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Despesa – desvio de finalidade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LC 101/2000, art. 8º, parágrafo único.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Avaliar se houve desvio de finalidade na execução das despesas decorrentes de recursos vinculados.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Não foi observadas nenhuma execução de despesas com desvio de sua finalidade.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81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2.2.34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Despesa – auxílios, contribuições e  Subvenções.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Legislação específica.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Avaliar se houve concessão de auxílios, contribuições </w:t>
              <w:tab/>
              <w:t xml:space="preserve">ou subvenções a entidades privadas sem previsão na LDO, na LOA e em lei específica.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Não Houve transferência de valores a título de auxílios ou  subvenções Sociais.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114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2.2.35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Despesa – subvenção social.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Lei 4.320/1964, art. 16.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Avaliar se a concessão de subvenção social obedeceu o disposto no art. 16, da Lei Federal nº 4.320/1964, especialmente no que se refere o seu parágrafo único.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6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Não houve conceção de subvenção social.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32" w:hRule="atLeast"/>
        </w:trPr>
        <w:tc>
          <w:tcPr>
            <w:tcW w:w="144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2" w:type="dxa"/>
              <w:right w:w="25" w:type="dxa"/>
            </w:tcMar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2.4. Limites constitucionais e legais 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2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Código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2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Ponto de controle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2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Base legal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2" w:type="dxa"/>
              <w:right w:w="25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Procedimento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32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Resposta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383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2.4.1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Transferências voluntárias – exigências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LC 101/2000, art. 25, § 1º.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Avaliar se houve realização de transferências voluntárias para outro Ente da Federação e, no caso de ocorrência, se as disposições contidas no § 1º, do artigo 25, da LRF foram observadas. 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Não houve realização de transferência voluntárias para outro ente da federação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684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2.4.3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Dívida pública – originalmente superior ao limite – redução do valor excedente  Vigente até 31/12/2023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Resolução nº 40/2001 do Senado Federal, art. 4º, inciso I.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Avaliar se a dívida consolidada líquida do Estado/Município, no final do exercício de 2001, excedia os limites estabelecidos nos incisos I e II, do artigo 3º, da Resolução nº 40/2001 do Senado Federal, respectivamente e, em caso positivo, verificar se o valor excedente está sendo reduzido à razão de 1/15 (um quinze avos) por exercício.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Não se aplica. 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30" w:hRule="atLeast"/>
        </w:trPr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left w:w="5" w:type="dxa"/>
              <w:right w:w="21" w:type="dxa"/>
            </w:tcMar>
          </w:tcPr>
          <w:p>
            <w:pPr>
              <w:pStyle w:val="Normal"/>
              <w:widowControl w:val="false"/>
              <w:spacing w:before="0" w:after="20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  <w:t>2.5. Gestão Previdenciária</w:t>
            </w:r>
          </w:p>
        </w:tc>
        <w:tc>
          <w:tcPr>
            <w:tcW w:w="1192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1" w:type="dxa"/>
            </w:tcMar>
          </w:tcPr>
          <w:p>
            <w:pPr>
              <w:pStyle w:val="Normal"/>
              <w:widowControl w:val="false"/>
              <w:spacing w:before="0" w:after="20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1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Código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left w:w="5" w:type="dxa"/>
              <w:right w:w="21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Ponto de controle</w:t>
            </w:r>
          </w:p>
        </w:tc>
        <w:tc>
          <w:tcPr>
            <w:tcW w:w="7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1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1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Base legal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1" w:type="dxa"/>
            </w:tcMar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Procedimento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21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Resposta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303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2.5.1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Retenção de  impostos, contribuições sociais </w:t>
              <w:tab/>
              <w:t xml:space="preserve">e previdenciárias.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 xml:space="preserve">LC 116/2003, art. 6º; Lei 8.212/1991; Dec. 3.000/1999; Lei Local. </w:t>
            </w:r>
          </w:p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Avaliar se foram realizadas as retenções na fonte e o devido recolhimento, de impostos, contribuições sociais e contribuições previdenciárias, devidas pelas pessoas jurídicas contratadas pela administração pública.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As retenções na fonte foram realizadas de acordo com a legislação, foram recolhidos os impostos, e demais contribuições.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114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2.5.4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Alíquota de contribuição – Retenção e recolhimento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 xml:space="preserve">CRFB/88, art. 40; </w:t>
            </w:r>
          </w:p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LRF, art. 69; Lei 9.717/1998, arts. 1º e 3º.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Verificar se os descontos previdenciários e as contribuições patronais estão obedecendo as alíquotas de contribuição estabelecidas conforme a legislação.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As alíquotas das contribuições previdenciárias das pessoas jurídicas é possível afirmar que foram utilizadas as alíquotas de acordo com a legislação. Porém as contribuições patronais/RGPS é competência da Divisão de Recursos Humanos, sendo assim, não tem como responder sobre as mesmas.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114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2.5.5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Guia de recolhimento de contribuições previdenciárias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CRFB/88, art. 40; LRF, art. 69; Lei 9.717/1998 art. 1º.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Verificar a existência de emissão de guia de </w:t>
              <w:tab/>
              <w:t xml:space="preserve">recolhimento das Contribuições Previdenciárias devidas ao RPPS, nas unidades gestoras.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Não se aplica</w:t>
            </w:r>
          </w:p>
          <w:p>
            <w:pPr>
              <w:pStyle w:val="Normal"/>
              <w:widowControl w:val="false"/>
              <w:rPr>
                <w:b/>
                <w:b/>
                <w:bCs/>
                <w:i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</w:rPr>
              <w:t xml:space="preserve">O Regime adotado pelo </w:t>
            </w:r>
            <w:r>
              <w:rPr>
                <w:b/>
                <w:bCs/>
                <w:i/>
                <w:iCs/>
                <w:u w:val="single"/>
              </w:rPr>
              <w:t xml:space="preserve">Município é o RGPS-Regime Geral de Previdência. </w:t>
            </w:r>
          </w:p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319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2.5.10 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Parcelamento de débitos  previdenciários – Autorização Legal </w:t>
            </w:r>
          </w:p>
        </w:tc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CRFB/88, art. 40;  LRF, art. 69; Lei 9.717/1998, art. 1º;  Portaria MTP 1.467/2022, art. 14 a 17.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Verificar se os acordos de parcelamentos tiveram autorização legislativa por se tratar de dívida fundada.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right w:w="25" w:type="dxa"/>
            </w:tcMar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O Órgão NÃO POSSUI DÍVIDA FUNDADA.</w:t>
            </w:r>
          </w:p>
        </w:tc>
        <w:tc>
          <w:tcPr>
            <w:tcW w:w="1612" w:type="dxa"/>
            <w:tcBorders/>
            <w:shd w:color="auto" w:fill="auto" w:val="clear"/>
            <w:tcMar>
              <w:top w:w="0" w:type="dxa"/>
              <w:left w:w="5" w:type="dxa"/>
              <w:right w:w="5" w:type="dxa"/>
            </w:tcMar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701" w:right="1701" w:gutter="0" w:header="737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center"/>
      <w:rPr>
        <w:rFonts w:ascii="Arial" w:hAnsi="Arial" w:cs="Arial"/>
        <w:sz w:val="24"/>
        <w:szCs w:val="24"/>
      </w:rPr>
    </w:pPr>
    <w:r>
      <w:rPr>
        <w:rFonts w:cs="Arial" w:ascii="Arial" w:hAnsi="Arial"/>
        <w:sz w:val="24"/>
        <w:szCs w:val="24"/>
      </w:rPr>
      <w:t>Rua Antônio Jackes Soares, 133 – Centro – CEP: 29.350-0000  -  Presidente Kennedy – ES</w:t>
    </w:r>
  </w:p>
  <w:p>
    <w:pPr>
      <w:pStyle w:val="NoSpacing"/>
      <w:jc w:val="center"/>
      <w:rPr>
        <w:rFonts w:ascii="Arial" w:hAnsi="Arial" w:cs="Arial"/>
        <w:sz w:val="24"/>
        <w:szCs w:val="24"/>
      </w:rPr>
    </w:pPr>
    <w:r>
      <w:rPr>
        <w:rStyle w:val="Strong"/>
        <w:rFonts w:cs="Arial" w:ascii="Arial" w:hAnsi="Arial"/>
        <w:color w:val="000000"/>
        <w:sz w:val="24"/>
        <w:szCs w:val="24"/>
      </w:rPr>
      <w:t>Telefone: (28) 3535-1900</w:t>
    </w:r>
  </w:p>
  <w:p>
    <w:pPr>
      <w:pStyle w:val="NoSpacing"/>
      <w:jc w:val="center"/>
      <w:rPr>
        <w:rFonts w:ascii="Arial" w:hAnsi="Arial" w:cs="Arial"/>
        <w:sz w:val="24"/>
        <w:szCs w:val="24"/>
      </w:rPr>
    </w:pPr>
    <w:r>
      <w:rPr>
        <w:rFonts w:cs="Arial" w:ascii="Arial" w:hAnsi="Arial"/>
        <w:sz w:val="24"/>
        <w:szCs w:val="24"/>
      </w:rPr>
    </w:r>
  </w:p>
  <w:p>
    <w:pPr>
      <w:pStyle w:val="Rodap"/>
      <w:rPr>
        <w:rFonts w:ascii="Arial" w:hAnsi="Arial" w:cs="Arial"/>
        <w:sz w:val="24"/>
        <w:szCs w:val="24"/>
      </w:rPr>
    </w:pPr>
    <w:r>
      <w:rPr>
        <w:rFonts w:cs="Arial" w:ascii="Arial" w:hAnsi="Arial"/>
        <w:sz w:val="24"/>
        <w:szCs w:val="2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3876675</wp:posOffset>
          </wp:positionH>
          <wp:positionV relativeFrom="paragraph">
            <wp:posOffset>-314960</wp:posOffset>
          </wp:positionV>
          <wp:extent cx="981075" cy="819150"/>
          <wp:effectExtent l="0" t="0" r="0" b="0"/>
          <wp:wrapNone/>
          <wp:docPr id="1" name="Imagem 660917488" descr="prefei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660917488" descr="prefeitur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widowControl/>
      <w:suppressAutoHyphens w:val="true"/>
      <w:bidi w:val="0"/>
      <w:spacing w:lineRule="auto" w:line="240" w:before="0" w:after="0"/>
      <w:ind w:left="0" w:right="-1020" w:hanging="0"/>
      <w:jc w:val="center"/>
      <w:rPr>
        <w:b/>
        <w:b/>
        <w:sz w:val="24"/>
        <w:szCs w:val="24"/>
      </w:rPr>
    </w:pPr>
    <w:r>
      <w:rPr>
        <w:b/>
        <w:sz w:val="24"/>
        <w:szCs w:val="24"/>
      </w:rPr>
    </w:r>
  </w:p>
  <w:p>
    <w:pPr>
      <w:pStyle w:val="Normal"/>
      <w:spacing w:lineRule="auto" w:line="240" w:before="0" w:after="0"/>
      <w:jc w:val="center"/>
      <w:rPr>
        <w:b/>
        <w:b/>
        <w:sz w:val="24"/>
        <w:szCs w:val="24"/>
      </w:rPr>
    </w:pPr>
    <w:r>
      <w:rPr>
        <w:b/>
        <w:sz w:val="24"/>
        <w:szCs w:val="24"/>
      </w:rPr>
    </w:r>
  </w:p>
  <w:p>
    <w:pPr>
      <w:pStyle w:val="Normal"/>
      <w:spacing w:lineRule="auto" w:line="240" w:before="0" w:after="0"/>
      <w:jc w:val="center"/>
      <w:rPr>
        <w:rFonts w:ascii="Arial" w:hAnsi="Arial" w:cs="Arial"/>
      </w:rPr>
    </w:pPr>
    <w:r>
      <w:rPr>
        <w:rFonts w:cs="Arial" w:ascii="Arial" w:hAnsi="Arial"/>
        <w:b/>
        <w:sz w:val="24"/>
        <w:szCs w:val="24"/>
      </w:rPr>
      <w:t>PREFEITURA MUNICIPAL DE PRESIDENTE KENNEDY</w:t>
    </w:r>
  </w:p>
  <w:p>
    <w:pPr>
      <w:pStyle w:val="Normal"/>
      <w:spacing w:lineRule="auto" w:line="240" w:before="0" w:after="0"/>
      <w:jc w:val="center"/>
      <w:rPr>
        <w:rFonts w:ascii="Arial" w:hAnsi="Arial" w:cs="Arial"/>
      </w:rPr>
    </w:pPr>
    <w:r>
      <w:rPr>
        <w:rFonts w:cs="Arial" w:ascii="Arial" w:hAnsi="Arial"/>
        <w:b/>
      </w:rPr>
      <w:t>SECRETARIA MUNICIPAL DE FAZENDA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a1db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zh-CN" w:val="pt-BR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2a6af4"/>
    <w:rPr>
      <w:rFonts w:ascii="Calibri" w:hAnsi="Calibri" w:eastAsia="Calibri" w:cs="Times New Roman"/>
      <w:kern w:val="0"/>
      <w:lang w:eastAsia="zh-CN"/>
      <w14:ligatures w14:val="none"/>
    </w:rPr>
  </w:style>
  <w:style w:type="character" w:styleId="RodapChar" w:customStyle="1">
    <w:name w:val="Rodapé Char"/>
    <w:basedOn w:val="DefaultParagraphFont"/>
    <w:uiPriority w:val="99"/>
    <w:qFormat/>
    <w:rsid w:val="002a6af4"/>
    <w:rPr>
      <w:rFonts w:ascii="Calibri" w:hAnsi="Calibri" w:eastAsia="Calibri" w:cs="Times New Roman"/>
      <w:kern w:val="0"/>
      <w:lang w:eastAsia="zh-CN"/>
      <w14:ligatures w14:val="none"/>
    </w:rPr>
  </w:style>
  <w:style w:type="character" w:styleId="Strong">
    <w:name w:val="Strong"/>
    <w:basedOn w:val="DefaultParagraphFont"/>
    <w:uiPriority w:val="22"/>
    <w:qFormat/>
    <w:rsid w:val="002a6af4"/>
    <w:rPr>
      <w:b/>
      <w:b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2a6af4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2a6af4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1" w:customStyle="1">
    <w:name w:val="Rodapé1"/>
    <w:basedOn w:val="Normal"/>
    <w:uiPriority w:val="99"/>
    <w:unhideWhenUsed/>
    <w:qFormat/>
    <w:rsid w:val="002a6af4"/>
    <w:pPr>
      <w:tabs>
        <w:tab w:val="clear" w:pos="708"/>
        <w:tab w:val="center" w:pos="4252" w:leader="none"/>
        <w:tab w:val="right" w:pos="8504" w:leader="none"/>
      </w:tabs>
      <w:suppressAutoHyphens w:val="false"/>
    </w:pPr>
    <w:rPr>
      <w:rFonts w:ascii="Calibri" w:hAnsi="Calibri" w:eastAsia="Calibri" w:asciiTheme="minorHAnsi" w:eastAsiaTheme="minorHAnsi" w:hAnsiTheme="minorHAnsi"/>
      <w:color w:val="00000A"/>
      <w:lang w:eastAsia="en-US"/>
    </w:rPr>
  </w:style>
  <w:style w:type="paragraph" w:styleId="Calibri" w:customStyle="1">
    <w:name w:val="Calibri"/>
    <w:basedOn w:val="Rodap1"/>
    <w:qFormat/>
    <w:rsid w:val="002a6af4"/>
    <w:pPr/>
    <w:rPr/>
  </w:style>
  <w:style w:type="paragraph" w:styleId="NoSpacing">
    <w:name w:val="No Spacing"/>
    <w:uiPriority w:val="1"/>
    <w:qFormat/>
    <w:rsid w:val="00e77ee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zh-CN" w:val="pt-BR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Application>LibreOffice/7.3.0.3$Windows_X86_64 LibreOffice_project/0f246aa12d0eee4a0f7adcefbf7c878fc2238db3</Application>
  <AppVersion>15.0000</AppVersion>
  <Pages>5</Pages>
  <Words>834</Words>
  <Characters>4875</Characters>
  <CharactersWithSpaces>5714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2024-02-19T13:27:00Z</dcterms:created>
  <dc:creator>Edilene Paz</dc:creator>
  <dc:description/>
  <dc:language>pt-BR</dc:language>
  <cp:lastModifiedBy/>
  <cp:lastPrinted>2024-03-08T14:17:10Z</cp:lastPrinted>
  <dcterms:modified xsi:type="dcterms:W3CDTF">2024-03-08T14:17:17Z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